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0F384" w14:textId="50F28A15" w:rsidR="00041909" w:rsidRDefault="000824DA" w:rsidP="00B1677A">
      <w:pPr>
        <w:ind w:firstLine="567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Выпуск облигаций АО «СПК «Актобе»</w:t>
      </w:r>
    </w:p>
    <w:p w14:paraId="75F73BEC" w14:textId="77777777" w:rsidR="00B1677A" w:rsidRPr="00B1677A" w:rsidRDefault="00B1677A" w:rsidP="00B1677A">
      <w:pPr>
        <w:ind w:firstLine="567"/>
        <w:jc w:val="center"/>
        <w:rPr>
          <w:b/>
          <w:bCs/>
          <w:color w:val="000000" w:themeColor="text1"/>
          <w:sz w:val="28"/>
          <w:szCs w:val="28"/>
        </w:rPr>
      </w:pPr>
    </w:p>
    <w:p w14:paraId="169443E2" w14:textId="77777777" w:rsidR="00B1677A" w:rsidRP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824DA">
        <w:rPr>
          <w:b/>
          <w:bCs/>
          <w:color w:val="000000" w:themeColor="text1"/>
          <w:sz w:val="28"/>
          <w:szCs w:val="28"/>
          <w:lang w:val="kk-KZ"/>
        </w:rPr>
        <w:t xml:space="preserve">ESG </w:t>
      </w:r>
      <w:r w:rsidRPr="00B1677A">
        <w:rPr>
          <w:color w:val="000000" w:themeColor="text1"/>
          <w:sz w:val="28"/>
          <w:szCs w:val="28"/>
          <w:lang w:val="kk-KZ"/>
        </w:rPr>
        <w:t>(Environmental, Social, and Governance) — это набор критериев, который используется для оценки компаний и организаций по трем ключевым аспектам: экология (</w:t>
      </w:r>
      <w:r w:rsidRPr="000824DA">
        <w:rPr>
          <w:b/>
          <w:bCs/>
          <w:color w:val="000000" w:themeColor="text1"/>
          <w:sz w:val="28"/>
          <w:szCs w:val="28"/>
          <w:lang w:val="kk-KZ"/>
        </w:rPr>
        <w:t>Environmental</w:t>
      </w:r>
      <w:r w:rsidRPr="00B1677A">
        <w:rPr>
          <w:color w:val="000000" w:themeColor="text1"/>
          <w:sz w:val="28"/>
          <w:szCs w:val="28"/>
          <w:lang w:val="kk-KZ"/>
        </w:rPr>
        <w:t>), социальная ответственность (</w:t>
      </w:r>
      <w:r w:rsidRPr="000824DA">
        <w:rPr>
          <w:b/>
          <w:bCs/>
          <w:color w:val="000000" w:themeColor="text1"/>
          <w:sz w:val="28"/>
          <w:szCs w:val="28"/>
          <w:lang w:val="kk-KZ"/>
        </w:rPr>
        <w:t>Social</w:t>
      </w:r>
      <w:r w:rsidRPr="00B1677A">
        <w:rPr>
          <w:color w:val="000000" w:themeColor="text1"/>
          <w:sz w:val="28"/>
          <w:szCs w:val="28"/>
          <w:lang w:val="kk-KZ"/>
        </w:rPr>
        <w:t>) и управление (</w:t>
      </w:r>
      <w:r w:rsidRPr="000824DA">
        <w:rPr>
          <w:b/>
          <w:bCs/>
          <w:color w:val="000000" w:themeColor="text1"/>
          <w:sz w:val="28"/>
          <w:szCs w:val="28"/>
          <w:lang w:val="kk-KZ"/>
        </w:rPr>
        <w:t>Governance</w:t>
      </w:r>
      <w:r w:rsidRPr="00B1677A">
        <w:rPr>
          <w:color w:val="000000" w:themeColor="text1"/>
          <w:sz w:val="28"/>
          <w:szCs w:val="28"/>
          <w:lang w:val="kk-KZ"/>
        </w:rPr>
        <w:t>). Эти критерии помогают инвесторам и другим заинтересованным сторонам оценить, насколько компания ответственна и устойчива с точки зрения ее воздействия на окружающую среду, социальную сферу и корпоративное управление.</w:t>
      </w:r>
    </w:p>
    <w:p w14:paraId="4AEC4D16" w14:textId="77777777" w:rsidR="00B1677A" w:rsidRP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B1677A">
        <w:rPr>
          <w:color w:val="000000" w:themeColor="text1"/>
          <w:sz w:val="28"/>
          <w:szCs w:val="28"/>
          <w:lang w:val="kk-KZ"/>
        </w:rPr>
        <w:t xml:space="preserve">Решением Совета директоров Общества от 18.12.2024 г. № 29 утвержден </w:t>
      </w:r>
      <w:r w:rsidRPr="000824DA">
        <w:rPr>
          <w:b/>
          <w:bCs/>
          <w:color w:val="000000" w:themeColor="text1"/>
          <w:sz w:val="28"/>
          <w:szCs w:val="28"/>
          <w:lang w:val="kk-KZ"/>
        </w:rPr>
        <w:t>План развития АО «СПК «Актобе»</w:t>
      </w:r>
      <w:r w:rsidRPr="00B1677A">
        <w:rPr>
          <w:color w:val="000000" w:themeColor="text1"/>
          <w:sz w:val="28"/>
          <w:szCs w:val="28"/>
          <w:lang w:val="kk-KZ"/>
        </w:rPr>
        <w:t xml:space="preserve"> на 2025-2029 годы (далее — План развития).</w:t>
      </w:r>
    </w:p>
    <w:p w14:paraId="66562233" w14:textId="2A6FE6CE" w:rsidR="00B1677A" w:rsidRDefault="00B1677A" w:rsidP="00B1677A">
      <w:pPr>
        <w:ind w:firstLine="567"/>
        <w:jc w:val="both"/>
        <w:rPr>
          <w:b/>
          <w:bCs/>
          <w:color w:val="000000" w:themeColor="text1"/>
          <w:sz w:val="28"/>
          <w:szCs w:val="28"/>
          <w:lang w:val="kk-KZ"/>
        </w:rPr>
      </w:pPr>
      <w:r w:rsidRPr="00B1677A">
        <w:rPr>
          <w:color w:val="000000" w:themeColor="text1"/>
          <w:sz w:val="28"/>
          <w:szCs w:val="28"/>
          <w:lang w:val="kk-KZ"/>
        </w:rPr>
        <w:t>Согласно задаче 1.2 Цели 2 (</w:t>
      </w:r>
      <w:r w:rsidRPr="000824DA">
        <w:rPr>
          <w:b/>
          <w:bCs/>
          <w:color w:val="000000" w:themeColor="text1"/>
          <w:sz w:val="28"/>
          <w:szCs w:val="28"/>
          <w:lang w:val="kk-KZ"/>
        </w:rPr>
        <w:t>Привлечение инвестиций</w:t>
      </w:r>
      <w:r w:rsidRPr="00B1677A">
        <w:rPr>
          <w:color w:val="000000" w:themeColor="text1"/>
          <w:sz w:val="28"/>
          <w:szCs w:val="28"/>
          <w:lang w:val="kk-KZ"/>
        </w:rPr>
        <w:t>) Второго стратегического направления (</w:t>
      </w:r>
      <w:r w:rsidRPr="000824DA">
        <w:rPr>
          <w:b/>
          <w:bCs/>
          <w:color w:val="000000" w:themeColor="text1"/>
          <w:sz w:val="28"/>
          <w:szCs w:val="28"/>
          <w:lang w:val="kk-KZ"/>
        </w:rPr>
        <w:t>Стимулирование предпринимательской активности и привлечение инвестиций в регион</w:t>
      </w:r>
      <w:r w:rsidRPr="00B1677A">
        <w:rPr>
          <w:color w:val="000000" w:themeColor="text1"/>
          <w:sz w:val="28"/>
          <w:szCs w:val="28"/>
          <w:lang w:val="kk-KZ"/>
        </w:rPr>
        <w:t xml:space="preserve">) определена задача — </w:t>
      </w:r>
      <w:r w:rsidRPr="000824DA">
        <w:rPr>
          <w:b/>
          <w:bCs/>
          <w:color w:val="000000" w:themeColor="text1"/>
          <w:sz w:val="28"/>
          <w:szCs w:val="28"/>
          <w:lang w:val="kk-KZ"/>
        </w:rPr>
        <w:t>получение рейтинга ESG.</w:t>
      </w:r>
    </w:p>
    <w:p w14:paraId="1D20E173" w14:textId="167B23E8" w:rsidR="00796EC9" w:rsidRPr="00796EC9" w:rsidRDefault="00796EC9" w:rsidP="00796EC9">
      <w:pPr>
        <w:ind w:firstLine="567"/>
        <w:jc w:val="both"/>
        <w:rPr>
          <w:b/>
          <w:color w:val="000000" w:themeColor="text1"/>
          <w:sz w:val="28"/>
          <w:szCs w:val="28"/>
          <w:lang w:val="kk-KZ"/>
        </w:rPr>
      </w:pPr>
      <w:r w:rsidRPr="00796EC9">
        <w:rPr>
          <w:b/>
          <w:color w:val="000000" w:themeColor="text1"/>
          <w:sz w:val="28"/>
          <w:szCs w:val="28"/>
          <w:lang w:val="kk-KZ"/>
        </w:rPr>
        <w:t>В</w:t>
      </w:r>
      <w:r>
        <w:rPr>
          <w:b/>
          <w:color w:val="000000" w:themeColor="text1"/>
          <w:sz w:val="28"/>
          <w:szCs w:val="28"/>
          <w:lang w:val="kk-KZ"/>
        </w:rPr>
        <w:t xml:space="preserve"> связи с чем, в</w:t>
      </w:r>
      <w:r w:rsidRPr="00796EC9">
        <w:rPr>
          <w:b/>
          <w:color w:val="000000" w:themeColor="text1"/>
          <w:sz w:val="28"/>
          <w:szCs w:val="28"/>
          <w:lang w:val="kk-KZ"/>
        </w:rPr>
        <w:t xml:space="preserve"> настоящее время Общество проводит работы по получению ESG-рейтинга.</w:t>
      </w:r>
    </w:p>
    <w:p w14:paraId="7E7B499B" w14:textId="77777777" w:rsidR="00514109" w:rsidRPr="00B1677A" w:rsidRDefault="00514109" w:rsidP="00514109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824DA">
        <w:rPr>
          <w:b/>
          <w:bCs/>
          <w:color w:val="000000" w:themeColor="text1"/>
          <w:sz w:val="28"/>
          <w:szCs w:val="28"/>
          <w:lang w:val="kk-KZ"/>
        </w:rPr>
        <w:t>ESG-рейтинг</w:t>
      </w:r>
      <w:r w:rsidRPr="00B1677A">
        <w:rPr>
          <w:color w:val="000000" w:themeColor="text1"/>
          <w:sz w:val="28"/>
          <w:szCs w:val="28"/>
          <w:lang w:val="kk-KZ"/>
        </w:rPr>
        <w:t xml:space="preserve"> является важным инструментом для оценки и улучшения устойчивости компаний. Он помогает снижать риски, привлекать инвестиции, строить доверие и репутацию, а также укреплять долгосрочные позиции на рынке. С развитием концепции устойчивого развития и эволюцией корпоративных стандартов роль ESG-рейтингования будет продолжать расти, становясь важным индикатором для всех заинтересованных сторон.</w:t>
      </w:r>
    </w:p>
    <w:p w14:paraId="1A246B9A" w14:textId="6D204277" w:rsidR="003D11B8" w:rsidRDefault="003D11B8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3D11B8">
        <w:rPr>
          <w:color w:val="000000" w:themeColor="text1"/>
          <w:sz w:val="28"/>
          <w:szCs w:val="28"/>
          <w:lang w:val="kk-KZ"/>
        </w:rPr>
        <w:t>В настоящий момент внешнюю оценку в формате Second-Party Opinion для проверки соответствия внутренних документов и политик эмитента требованиям Принципов социальных облигаций Международной ассоциации рынков капитала</w:t>
      </w:r>
      <w:r>
        <w:rPr>
          <w:color w:val="000000" w:themeColor="text1"/>
          <w:sz w:val="28"/>
          <w:szCs w:val="28"/>
          <w:lang w:val="kk-KZ"/>
        </w:rPr>
        <w:t xml:space="preserve"> и </w:t>
      </w:r>
      <w:r>
        <w:rPr>
          <w:color w:val="000000" w:themeColor="text1"/>
          <w:sz w:val="28"/>
          <w:szCs w:val="28"/>
          <w:lang w:val="en-US"/>
        </w:rPr>
        <w:t>ESG</w:t>
      </w:r>
      <w:r w:rsidRPr="003D11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>отчет</w:t>
      </w:r>
      <w:r w:rsidRPr="003D11B8">
        <w:rPr>
          <w:color w:val="000000" w:themeColor="text1"/>
          <w:sz w:val="28"/>
          <w:szCs w:val="28"/>
          <w:lang w:val="kk-KZ"/>
        </w:rPr>
        <w:t xml:space="preserve"> проводит Центр зеленых финансов МФЦА.</w:t>
      </w:r>
    </w:p>
    <w:p w14:paraId="116AFD3C" w14:textId="4365240A" w:rsidR="00B1677A" w:rsidRP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824DA">
        <w:rPr>
          <w:b/>
          <w:bCs/>
          <w:color w:val="000000" w:themeColor="text1"/>
          <w:sz w:val="28"/>
          <w:szCs w:val="28"/>
          <w:lang w:val="kk-KZ"/>
        </w:rPr>
        <w:t>Внешняя оценка (Second Party Opinion, или SPO)</w:t>
      </w:r>
      <w:r w:rsidR="00796EC9">
        <w:rPr>
          <w:b/>
          <w:bCs/>
          <w:color w:val="000000" w:themeColor="text1"/>
          <w:sz w:val="28"/>
          <w:szCs w:val="28"/>
          <w:lang w:val="kk-KZ"/>
        </w:rPr>
        <w:t xml:space="preserve"> </w:t>
      </w:r>
      <w:r w:rsidR="00796EC9" w:rsidRPr="00796EC9">
        <w:rPr>
          <w:bCs/>
          <w:color w:val="000000" w:themeColor="text1"/>
          <w:sz w:val="28"/>
          <w:szCs w:val="28"/>
          <w:lang w:val="kk-KZ"/>
        </w:rPr>
        <w:t>-</w:t>
      </w:r>
      <w:r w:rsidRPr="00796EC9">
        <w:rPr>
          <w:color w:val="000000" w:themeColor="text1"/>
          <w:sz w:val="28"/>
          <w:szCs w:val="28"/>
          <w:lang w:val="kk-KZ"/>
        </w:rPr>
        <w:t xml:space="preserve"> </w:t>
      </w:r>
      <w:r w:rsidRPr="00B1677A">
        <w:rPr>
          <w:color w:val="000000" w:themeColor="text1"/>
          <w:sz w:val="28"/>
          <w:szCs w:val="28"/>
          <w:lang w:val="kk-KZ"/>
        </w:rPr>
        <w:t>является подтверждением соответствия выпуска социальных облигаций международным стандартам и принципам (например, Принципам социальных облигаций Международной ассоциации рынков капитала, ICMA).</w:t>
      </w:r>
    </w:p>
    <w:p w14:paraId="5081A031" w14:textId="77777777" w:rsidR="00B1677A" w:rsidRP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B1677A">
        <w:rPr>
          <w:color w:val="000000" w:themeColor="text1"/>
          <w:sz w:val="28"/>
          <w:szCs w:val="28"/>
          <w:lang w:val="kk-KZ"/>
        </w:rPr>
        <w:t>Внешняя оценка, представляемая заказчику (т.е. эмитенту) для последующего предоставления на биржевую площадку (в пакете эмиссионной документации), должна охватывать следующие аспекты:</w:t>
      </w:r>
    </w:p>
    <w:p w14:paraId="17EB56E3" w14:textId="77777777" w:rsidR="00B1677A" w:rsidRP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-</w:t>
      </w:r>
      <w:r w:rsidRPr="00B1677A">
        <w:rPr>
          <w:color w:val="000000" w:themeColor="text1"/>
          <w:sz w:val="28"/>
          <w:szCs w:val="28"/>
          <w:lang w:val="kk-KZ"/>
        </w:rPr>
        <w:t>Соответствие выпуска Принципам социальных облигаций ICMA;</w:t>
      </w:r>
    </w:p>
    <w:p w14:paraId="3A710933" w14:textId="77777777" w:rsidR="00B1677A" w:rsidRP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-</w:t>
      </w:r>
      <w:r w:rsidRPr="00B1677A">
        <w:rPr>
          <w:color w:val="000000" w:themeColor="text1"/>
          <w:sz w:val="28"/>
          <w:szCs w:val="28"/>
          <w:lang w:val="kk-KZ"/>
        </w:rPr>
        <w:t>Социальное воздействие финансируемых проектов;</w:t>
      </w:r>
    </w:p>
    <w:p w14:paraId="1D7AAEFD" w14:textId="77777777" w:rsidR="00B1677A" w:rsidRP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-</w:t>
      </w:r>
      <w:r w:rsidRPr="00B1677A">
        <w:rPr>
          <w:color w:val="000000" w:themeColor="text1"/>
          <w:sz w:val="28"/>
          <w:szCs w:val="28"/>
          <w:lang w:val="kk-KZ"/>
        </w:rPr>
        <w:t>Управление процессом использования средств;</w:t>
      </w:r>
    </w:p>
    <w:p w14:paraId="0697E200" w14:textId="77777777" w:rsidR="00B1677A" w:rsidRP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-</w:t>
      </w:r>
      <w:r w:rsidRPr="00B1677A">
        <w:rPr>
          <w:color w:val="000000" w:themeColor="text1"/>
          <w:sz w:val="28"/>
          <w:szCs w:val="28"/>
          <w:lang w:val="kk-KZ"/>
        </w:rPr>
        <w:t>Отчетность и прозрачность эмитента в части устойчивого финансирования.</w:t>
      </w:r>
    </w:p>
    <w:p w14:paraId="0BC5D56C" w14:textId="77777777" w:rsidR="00B1677A" w:rsidRP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-</w:t>
      </w:r>
      <w:r w:rsidRPr="00B1677A">
        <w:rPr>
          <w:color w:val="000000" w:themeColor="text1"/>
          <w:sz w:val="28"/>
          <w:szCs w:val="28"/>
          <w:lang w:val="kk-KZ"/>
        </w:rPr>
        <w:t>Оценку должна проводить независимая аккредитованная организация.</w:t>
      </w:r>
    </w:p>
    <w:p w14:paraId="7603CC12" w14:textId="69D9E9DB" w:rsidR="00B1677A" w:rsidRP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B1677A">
        <w:rPr>
          <w:color w:val="000000" w:themeColor="text1"/>
          <w:sz w:val="28"/>
          <w:szCs w:val="28"/>
          <w:lang w:val="kk-KZ"/>
        </w:rPr>
        <w:t>Внешний отчет должен содержать:</w:t>
      </w:r>
    </w:p>
    <w:p w14:paraId="0AB8C47B" w14:textId="77777777" w:rsidR="00B1677A" w:rsidRP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-</w:t>
      </w:r>
      <w:r w:rsidRPr="00B1677A">
        <w:rPr>
          <w:color w:val="000000" w:themeColor="text1"/>
          <w:sz w:val="28"/>
          <w:szCs w:val="28"/>
          <w:lang w:val="kk-KZ"/>
        </w:rPr>
        <w:t>Описание методологии оценки;</w:t>
      </w:r>
    </w:p>
    <w:p w14:paraId="6D56528F" w14:textId="77777777" w:rsidR="00B1677A" w:rsidRP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-</w:t>
      </w:r>
      <w:r w:rsidRPr="00B1677A">
        <w:rPr>
          <w:color w:val="000000" w:themeColor="text1"/>
          <w:sz w:val="28"/>
          <w:szCs w:val="28"/>
          <w:lang w:val="kk-KZ"/>
        </w:rPr>
        <w:t>Результаты анализа соответствия международным принципам;</w:t>
      </w:r>
    </w:p>
    <w:p w14:paraId="23AA3AC7" w14:textId="77777777" w:rsidR="00B1677A" w:rsidRP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>-</w:t>
      </w:r>
      <w:r w:rsidRPr="00B1677A">
        <w:rPr>
          <w:color w:val="000000" w:themeColor="text1"/>
          <w:sz w:val="28"/>
          <w:szCs w:val="28"/>
          <w:lang w:val="kk-KZ"/>
        </w:rPr>
        <w:t>Оценку прозрачности, социальной значимости и управления финансами;</w:t>
      </w:r>
    </w:p>
    <w:p w14:paraId="549D9D76" w14:textId="2278A7BC" w:rsidR="00B1677A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lastRenderedPageBreak/>
        <w:t>-</w:t>
      </w:r>
      <w:r w:rsidRPr="00B1677A">
        <w:rPr>
          <w:color w:val="000000" w:themeColor="text1"/>
          <w:sz w:val="28"/>
          <w:szCs w:val="28"/>
          <w:lang w:val="kk-KZ"/>
        </w:rPr>
        <w:t>Заключение о соответствии выпуска социальных облигаций международным стандартам.</w:t>
      </w:r>
    </w:p>
    <w:p w14:paraId="604507D3" w14:textId="5A0024C5" w:rsidR="000824DA" w:rsidRDefault="000824D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0824DA">
        <w:rPr>
          <w:color w:val="000000" w:themeColor="text1"/>
          <w:sz w:val="28"/>
          <w:szCs w:val="28"/>
          <w:lang w:val="kk-KZ"/>
        </w:rPr>
        <w:t xml:space="preserve">Состоялась первая рабочая встреча с представителями </w:t>
      </w:r>
      <w:r w:rsidRPr="000824DA">
        <w:rPr>
          <w:b/>
          <w:bCs/>
          <w:color w:val="000000" w:themeColor="text1"/>
          <w:sz w:val="28"/>
          <w:szCs w:val="28"/>
          <w:lang w:val="kk-KZ"/>
        </w:rPr>
        <w:t>AIX</w:t>
      </w:r>
      <w:r w:rsidRPr="000824DA">
        <w:rPr>
          <w:color w:val="000000" w:themeColor="text1"/>
          <w:sz w:val="28"/>
          <w:szCs w:val="28"/>
          <w:lang w:val="kk-KZ"/>
        </w:rPr>
        <w:t xml:space="preserve"> по обсуждению предстоящей сделки. В ходе переговоров был обсужден и прорабатывается вопрос о выпуске </w:t>
      </w:r>
      <w:r w:rsidRPr="000824DA">
        <w:rPr>
          <w:b/>
          <w:bCs/>
          <w:color w:val="000000" w:themeColor="text1"/>
          <w:sz w:val="28"/>
          <w:szCs w:val="28"/>
          <w:lang w:val="kk-KZ"/>
        </w:rPr>
        <w:t xml:space="preserve">публичных </w:t>
      </w:r>
      <w:r w:rsidRPr="000824DA">
        <w:rPr>
          <w:color w:val="000000" w:themeColor="text1"/>
          <w:sz w:val="28"/>
          <w:szCs w:val="28"/>
          <w:lang w:val="kk-KZ"/>
        </w:rPr>
        <w:t xml:space="preserve">или </w:t>
      </w:r>
      <w:r w:rsidRPr="000824DA">
        <w:rPr>
          <w:b/>
          <w:bCs/>
          <w:color w:val="000000" w:themeColor="text1"/>
          <w:sz w:val="28"/>
          <w:szCs w:val="28"/>
          <w:lang w:val="kk-KZ"/>
        </w:rPr>
        <w:t>якорных облигаций</w:t>
      </w:r>
      <w:r w:rsidRPr="000824DA">
        <w:rPr>
          <w:color w:val="000000" w:themeColor="text1"/>
          <w:sz w:val="28"/>
          <w:szCs w:val="28"/>
          <w:lang w:val="kk-KZ"/>
        </w:rPr>
        <w:t xml:space="preserve">. Для якорных облигаций планируется </w:t>
      </w:r>
      <w:r w:rsidR="00796EC9">
        <w:rPr>
          <w:color w:val="000000" w:themeColor="text1"/>
          <w:sz w:val="28"/>
          <w:szCs w:val="28"/>
          <w:lang w:val="kk-KZ"/>
        </w:rPr>
        <w:t>привлечение</w:t>
      </w:r>
      <w:r w:rsidRPr="000824DA">
        <w:rPr>
          <w:color w:val="000000" w:themeColor="text1"/>
          <w:sz w:val="28"/>
          <w:szCs w:val="28"/>
          <w:lang w:val="kk-KZ"/>
        </w:rPr>
        <w:t xml:space="preserve"> </w:t>
      </w:r>
      <w:r w:rsidRPr="000824DA">
        <w:rPr>
          <w:b/>
          <w:bCs/>
          <w:color w:val="000000" w:themeColor="text1"/>
          <w:sz w:val="28"/>
          <w:szCs w:val="28"/>
          <w:lang w:val="kk-KZ"/>
        </w:rPr>
        <w:t>ТК «Казхром»</w:t>
      </w:r>
      <w:r w:rsidRPr="000824DA">
        <w:rPr>
          <w:color w:val="000000" w:themeColor="text1"/>
          <w:sz w:val="28"/>
          <w:szCs w:val="28"/>
          <w:lang w:val="kk-KZ"/>
        </w:rPr>
        <w:t>.</w:t>
      </w:r>
    </w:p>
    <w:p w14:paraId="625ED6E3" w14:textId="3B8B2EDF" w:rsidR="004B3F31" w:rsidRDefault="00B1677A" w:rsidP="00B1677A">
      <w:pPr>
        <w:ind w:firstLine="567"/>
        <w:jc w:val="both"/>
        <w:rPr>
          <w:color w:val="000000" w:themeColor="text1"/>
          <w:sz w:val="28"/>
          <w:szCs w:val="28"/>
          <w:lang w:val="kk-KZ"/>
        </w:rPr>
      </w:pPr>
      <w:r w:rsidRPr="00B1677A">
        <w:rPr>
          <w:color w:val="000000" w:themeColor="text1"/>
          <w:sz w:val="28"/>
          <w:szCs w:val="28"/>
          <w:lang w:val="kk-KZ"/>
        </w:rPr>
        <w:t>30 мая Общество будет участвовать в Международном форуме Астаны, где планирует объявить о намерении выпуска облигаций.</w:t>
      </w:r>
    </w:p>
    <w:p w14:paraId="4F21C363" w14:textId="23345E02" w:rsidR="00796EC9" w:rsidRDefault="00796EC9" w:rsidP="00796EC9">
      <w:pPr>
        <w:ind w:firstLine="567"/>
        <w:jc w:val="both"/>
        <w:rPr>
          <w:sz w:val="28"/>
          <w:szCs w:val="28"/>
        </w:rPr>
      </w:pPr>
      <w:r w:rsidRPr="00796EC9">
        <w:rPr>
          <w:sz w:val="28"/>
          <w:szCs w:val="28"/>
        </w:rPr>
        <w:t>Стоит отметить, что действия, направленные на выпуск облигаций,</w:t>
      </w:r>
      <w:r>
        <w:rPr>
          <w:sz w:val="28"/>
          <w:szCs w:val="28"/>
        </w:rPr>
        <w:t xml:space="preserve"> планируются для реализации проекта по модернизации минирынков в г.Актобе. </w:t>
      </w:r>
    </w:p>
    <w:p w14:paraId="5F9D536C" w14:textId="472AC704" w:rsidR="004B3F31" w:rsidRDefault="004B3F31" w:rsidP="00C41C16">
      <w:pPr>
        <w:ind w:firstLine="567"/>
        <w:jc w:val="both"/>
        <w:rPr>
          <w:sz w:val="28"/>
          <w:szCs w:val="28"/>
        </w:rPr>
      </w:pPr>
    </w:p>
    <w:p w14:paraId="12C8FD66" w14:textId="77777777" w:rsidR="00874243" w:rsidRPr="00041909" w:rsidRDefault="00874243" w:rsidP="00C41C16">
      <w:pPr>
        <w:ind w:firstLine="567"/>
        <w:jc w:val="both"/>
        <w:rPr>
          <w:sz w:val="28"/>
          <w:szCs w:val="28"/>
        </w:rPr>
      </w:pPr>
    </w:p>
    <w:sectPr w:rsidR="00874243" w:rsidRPr="00041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57"/>
    <w:rsid w:val="00041909"/>
    <w:rsid w:val="00067F88"/>
    <w:rsid w:val="000824DA"/>
    <w:rsid w:val="001F77D7"/>
    <w:rsid w:val="003D11B8"/>
    <w:rsid w:val="004B3F31"/>
    <w:rsid w:val="004F2E72"/>
    <w:rsid w:val="00514109"/>
    <w:rsid w:val="00534C40"/>
    <w:rsid w:val="00644E57"/>
    <w:rsid w:val="0075531A"/>
    <w:rsid w:val="00796EC9"/>
    <w:rsid w:val="00874243"/>
    <w:rsid w:val="00996D72"/>
    <w:rsid w:val="009A4EF2"/>
    <w:rsid w:val="00B1677A"/>
    <w:rsid w:val="00B431B2"/>
    <w:rsid w:val="00B54F85"/>
    <w:rsid w:val="00BE4ED0"/>
    <w:rsid w:val="00BF29A1"/>
    <w:rsid w:val="00C27310"/>
    <w:rsid w:val="00C41C16"/>
    <w:rsid w:val="00CB5F19"/>
    <w:rsid w:val="00E71863"/>
    <w:rsid w:val="00F411E8"/>
    <w:rsid w:val="00FD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E6D3"/>
  <w15:chartTrackingRefBased/>
  <w15:docId w15:val="{91E168DC-A2D9-4AE4-9B70-83179B6A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90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 Атлаш</dc:creator>
  <cp:keywords/>
  <dc:description/>
  <cp:lastModifiedBy>Аида Атлаш</cp:lastModifiedBy>
  <cp:revision>3</cp:revision>
  <cp:lastPrinted>2025-03-14T10:05:00Z</cp:lastPrinted>
  <dcterms:created xsi:type="dcterms:W3CDTF">2025-04-16T11:11:00Z</dcterms:created>
  <dcterms:modified xsi:type="dcterms:W3CDTF">2025-04-16T11:15:00Z</dcterms:modified>
</cp:coreProperties>
</file>